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1073741832"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284" w:hRule="atLeast"/>
          <w:tblHeader w:val="0"/>
        </w:trPr>
        <w:tc>
          <w:tcPr>
            <w:tcBorders>
              <w:top w:color="5e5e5e" w:space="0" w:sz="6" w:val="single"/>
              <w:left w:color="5e5e5e" w:space="0" w:sz="6" w:val="single"/>
              <w:bottom w:color="5e5e5e" w:space="0" w:sz="6" w:val="single"/>
              <w:right w:color="5e5e5e" w:space="0" w:sz="6" w:val="single"/>
            </w:tcBorders>
            <w:shd w:fill="ff9900"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sz w:val="22"/>
                <w:szCs w:val="22"/>
                <w:rtl w:val="0"/>
              </w:rPr>
              <w:t xml:space="preserve">SECOND</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w:t>
            </w:r>
            <w:r w:rsidDel="00000000" w:rsidR="00000000" w:rsidRPr="00000000">
              <w:rPr>
                <w:rFonts w:ascii="Helvetica Neue" w:cs="Helvetica Neue" w:eastAsia="Helvetica Neue" w:hAnsi="Helvetica Neue"/>
                <w:b w:val="1"/>
                <w:sz w:val="22"/>
                <w:szCs w:val="22"/>
                <w:rtl w:val="0"/>
              </w:rPr>
              <w:t xml:space="preserve">3</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SCUOLA </w:t>
            </w:r>
            <w:r w:rsidDel="00000000" w:rsidR="00000000" w:rsidRPr="00000000">
              <w:rPr>
                <w:rFonts w:ascii="Helvetica Neue" w:cs="Helvetica Neue" w:eastAsia="Helvetica Neue" w:hAnsi="Helvetica Neue"/>
                <w:b w:val="1"/>
                <w:sz w:val="22"/>
                <w:szCs w:val="22"/>
                <w:rtl w:val="0"/>
              </w:rPr>
              <w:t xml:space="preserve">PRIMARIA</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30"/>
        <w:gridCol w:w="6255"/>
        <w:tblGridChange w:id="0">
          <w:tblGrid>
            <w:gridCol w:w="6900"/>
            <w:gridCol w:w="1290"/>
            <w:gridCol w:w="1230"/>
            <w:gridCol w:w="625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pPr>
            <w:r w:rsidDel="00000000" w:rsidR="00000000" w:rsidRPr="00000000">
              <w:rPr>
                <w:rFonts w:ascii="Helvetica Neue" w:cs="Helvetica Neue" w:eastAsia="Helvetica Neue" w:hAnsi="Helvetica Neue"/>
                <w:sz w:val="22"/>
                <w:szCs w:val="22"/>
                <w:rtl w:val="0"/>
              </w:rPr>
              <w:t xml:space="preserve">Sede scolastica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pPr>
            <w:r w:rsidDel="00000000" w:rsidR="00000000" w:rsidRPr="00000000">
              <w:rPr>
                <w:rFonts w:ascii="Helvetica Neue" w:cs="Helvetica Neue" w:eastAsia="Helvetica Neue" w:hAnsi="Helvetica Neue"/>
                <w:sz w:val="22"/>
                <w:szCs w:val="22"/>
                <w:rtl w:val="0"/>
              </w:rPr>
              <w:t xml:space="preserve">Classe 3°</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Coordinatore                                                     A.S. 2023-2024</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COSTITUZIONE, DIRITTO (NAZIONALE E INTERNAZIONALE), LEGALITA’ E SOLIDARIETA’</w:t>
            </w: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4715.0"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0"/>
        <w:gridCol w:w="2490"/>
        <w:gridCol w:w="1260"/>
        <w:gridCol w:w="3525"/>
        <w:gridCol w:w="645"/>
        <w:gridCol w:w="645"/>
        <w:tblGridChange w:id="0">
          <w:tblGrid>
            <w:gridCol w:w="6150"/>
            <w:gridCol w:w="2490"/>
            <w:gridCol w:w="1260"/>
            <w:gridCol w:w="3525"/>
            <w:gridCol w:w="645"/>
            <w:gridCol w:w="645"/>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7">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manifestare attraverso comportamenti, di aver preso coscienza del significato di appartenenza ad un gruppo;</w:t>
            </w:r>
            <w:r w:rsidDel="00000000" w:rsidR="00000000" w:rsidRPr="00000000">
              <w:rPr>
                <w:rtl w:val="0"/>
              </w:rPr>
            </w:r>
          </w:p>
          <w:p w:rsidR="00000000" w:rsidDel="00000000" w:rsidP="00000000" w:rsidRDefault="00000000" w:rsidRPr="00000000" w14:paraId="00000018">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individuare, a partire dalla propria esperienza, il significato di partecipazione all’attività di gruppo;</w:t>
            </w:r>
            <w:r w:rsidDel="00000000" w:rsidR="00000000" w:rsidRPr="00000000">
              <w:rPr>
                <w:rtl w:val="0"/>
              </w:rPr>
            </w:r>
          </w:p>
          <w:p w:rsidR="00000000" w:rsidDel="00000000" w:rsidP="00000000" w:rsidRDefault="00000000" w:rsidRPr="00000000" w14:paraId="00000019">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alcune “regole” delle formazioni sociali: i loro compiti, i loro servizi, i loro scopi;</w:t>
            </w:r>
            <w:r w:rsidDel="00000000" w:rsidR="00000000" w:rsidRPr="00000000">
              <w:rPr>
                <w:rtl w:val="0"/>
              </w:rPr>
            </w:r>
          </w:p>
          <w:p w:rsidR="00000000" w:rsidDel="00000000" w:rsidP="00000000" w:rsidRDefault="00000000" w:rsidRPr="00000000" w14:paraId="0000001A">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le espressioni di volontà degli organi collegiali della scuola;</w:t>
            </w:r>
            <w:r w:rsidDel="00000000" w:rsidR="00000000" w:rsidRPr="00000000">
              <w:rPr>
                <w:rtl w:val="0"/>
              </w:rPr>
            </w:r>
          </w:p>
          <w:p w:rsidR="00000000" w:rsidDel="00000000" w:rsidP="00000000" w:rsidRDefault="00000000" w:rsidRPr="00000000" w14:paraId="0000001B">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mettere in atto comportamenti appropriati ai diritti-doveri dello studente;</w:t>
            </w:r>
            <w:r w:rsidDel="00000000" w:rsidR="00000000" w:rsidRPr="00000000">
              <w:rPr>
                <w:rtl w:val="0"/>
              </w:rPr>
            </w:r>
          </w:p>
          <w:p w:rsidR="00000000" w:rsidDel="00000000" w:rsidP="00000000" w:rsidRDefault="00000000" w:rsidRPr="00000000" w14:paraId="0000001C">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esprimere il proprio punto di vista, confrontandolo con i compagni; </w:t>
            </w:r>
            <w:r w:rsidDel="00000000" w:rsidR="00000000" w:rsidRPr="00000000">
              <w:rPr>
                <w:rtl w:val="0"/>
              </w:rPr>
            </w:r>
          </w:p>
          <w:p w:rsidR="00000000" w:rsidDel="00000000" w:rsidP="00000000" w:rsidRDefault="00000000" w:rsidRPr="00000000" w14:paraId="0000001D">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attivare relazioni di aiuto con i compagni;</w:t>
            </w:r>
            <w:r w:rsidDel="00000000" w:rsidR="00000000" w:rsidRPr="00000000">
              <w:rPr>
                <w:rtl w:val="0"/>
              </w:rPr>
            </w:r>
          </w:p>
          <w:p w:rsidR="00000000" w:rsidDel="00000000" w:rsidP="00000000" w:rsidRDefault="00000000" w:rsidRPr="00000000" w14:paraId="0000001E">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rispettare suppellettili e sussidi presenti nella scuola;</w:t>
            </w:r>
            <w:r w:rsidDel="00000000" w:rsidR="00000000" w:rsidRPr="00000000">
              <w:rPr>
                <w:rtl w:val="0"/>
              </w:rPr>
            </w:r>
          </w:p>
          <w:p w:rsidR="00000000" w:rsidDel="00000000" w:rsidP="00000000" w:rsidRDefault="00000000" w:rsidRPr="00000000" w14:paraId="0000001F">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essere consapevole delle regole che permettono il vivere in comune e le sa rispettare;</w:t>
            </w:r>
            <w:r w:rsidDel="00000000" w:rsidR="00000000" w:rsidRPr="00000000">
              <w:rPr>
                <w:rtl w:val="0"/>
              </w:rPr>
            </w:r>
          </w:p>
          <w:p w:rsidR="00000000" w:rsidDel="00000000" w:rsidP="00000000" w:rsidRDefault="00000000" w:rsidRPr="00000000" w14:paraId="00000020">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valore della democrazia attraverso l’esperienza in classe</w:t>
            </w:r>
            <w:r w:rsidDel="00000000" w:rsidR="00000000" w:rsidRPr="00000000">
              <w:rPr>
                <w:rtl w:val="0"/>
              </w:rPr>
            </w:r>
          </w:p>
          <w:p w:rsidR="00000000" w:rsidDel="00000000" w:rsidP="00000000" w:rsidRDefault="00000000" w:rsidRPr="00000000" w14:paraId="00000021">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approfondire il concetto di democrazia attraverso l’analisi di alcuni articoli della Costituzione italiana.</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2">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Costituzione italiana (primi 3 art.)</w:t>
            </w:r>
            <w:r w:rsidDel="00000000" w:rsidR="00000000" w:rsidRPr="00000000">
              <w:rPr>
                <w:rtl w:val="0"/>
              </w:rPr>
            </w:r>
          </w:p>
          <w:p w:rsidR="00000000" w:rsidDel="00000000" w:rsidP="00000000" w:rsidRDefault="00000000" w:rsidRPr="00000000" w14:paraId="00000023">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concetti di diritto e dovere</w:t>
            </w:r>
          </w:p>
          <w:p w:rsidR="00000000" w:rsidDel="00000000" w:rsidP="00000000" w:rsidRDefault="00000000" w:rsidRPr="00000000" w14:paraId="00000024">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regole del pedone e del ciclista nell’ed. stradale</w:t>
            </w:r>
            <w:r w:rsidDel="00000000" w:rsidR="00000000" w:rsidRPr="00000000">
              <w:rPr>
                <w:rtl w:val="0"/>
              </w:rPr>
            </w:r>
          </w:p>
          <w:p w:rsidR="00000000" w:rsidDel="00000000" w:rsidP="00000000" w:rsidRDefault="00000000" w:rsidRPr="00000000" w14:paraId="00000025">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regole di convivenza nella     classe e nella scuola</w:t>
            </w:r>
          </w:p>
          <w:p w:rsidR="00000000" w:rsidDel="00000000" w:rsidP="00000000" w:rsidRDefault="00000000" w:rsidRPr="00000000" w14:paraId="00000026">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il valore delle parole nella relazione con l’altro</w:t>
            </w:r>
          </w:p>
          <w:p w:rsidR="00000000" w:rsidDel="00000000" w:rsidP="00000000" w:rsidRDefault="00000000" w:rsidRPr="00000000" w14:paraId="00000027">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bellezze naturali e artistiche nella nostra zona</w:t>
            </w:r>
            <w:r w:rsidDel="00000000" w:rsidR="00000000" w:rsidRPr="00000000">
              <w:rPr>
                <w:rtl w:val="0"/>
              </w:rPr>
            </w:r>
          </w:p>
          <w:p w:rsidR="00000000" w:rsidDel="00000000" w:rsidP="00000000" w:rsidRDefault="00000000" w:rsidRPr="00000000" w14:paraId="00000028">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Giornata della Memoria.</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spacing w:after="0" w:before="0" w:line="240" w:lineRule="auto"/>
              <w:ind w:left="0" w:firstLine="0"/>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RELIGIONE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spacing w:after="0" w:before="0" w:line="240" w:lineRule="auto"/>
              <w:ind w:left="0" w:firstLine="0"/>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6F">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79">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A">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B">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C">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E">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7F">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0">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81">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utilizzare archivi, musei, biblioteche, monumenti, luoghi storici, presenti sul territorio, riconoscendone la funzione di conservazione della memoria;</w:t>
            </w:r>
            <w:r w:rsidDel="00000000" w:rsidR="00000000" w:rsidRPr="00000000">
              <w:rPr>
                <w:rtl w:val="0"/>
              </w:rPr>
            </w:r>
          </w:p>
          <w:p w:rsidR="00000000" w:rsidDel="00000000" w:rsidP="00000000" w:rsidRDefault="00000000" w:rsidRPr="00000000" w14:paraId="00000082">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ricostruire fatti, eventi e tappe significative della storia locale, utilizzando tracce, reperti, monumenti, documenti.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3">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il territorio di appartenenza: caratteristiche fisico-politiche della provincia</w:t>
            </w:r>
          </w:p>
          <w:p w:rsidR="00000000" w:rsidDel="00000000" w:rsidP="00000000" w:rsidRDefault="00000000" w:rsidRPr="00000000" w14:paraId="00000084">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trilinguismo: cenni</w:t>
            </w:r>
            <w:r w:rsidDel="00000000" w:rsidR="00000000" w:rsidRPr="00000000">
              <w:rPr>
                <w:rtl w:val="0"/>
              </w:rPr>
            </w:r>
          </w:p>
          <w:p w:rsidR="00000000" w:rsidDel="00000000" w:rsidP="00000000" w:rsidRDefault="00000000" w:rsidRPr="00000000" w14:paraId="00000085">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l’Autonomia trentina: cenni</w:t>
            </w:r>
            <w:r w:rsidDel="00000000" w:rsidR="00000000" w:rsidRPr="00000000">
              <w:rPr>
                <w:rtl w:val="0"/>
              </w:rPr>
            </w:r>
          </w:p>
          <w:p w:rsidR="00000000" w:rsidDel="00000000" w:rsidP="00000000" w:rsidRDefault="00000000" w:rsidRPr="00000000" w14:paraId="00000086">
            <w:pPr>
              <w:numPr>
                <w:ilvl w:val="0"/>
                <w:numId w:val="1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Parchi naturali trentini</w:t>
            </w:r>
            <w:r w:rsidDel="00000000" w:rsidR="00000000" w:rsidRPr="00000000">
              <w:rPr>
                <w:rtl w:val="0"/>
              </w:rPr>
            </w:r>
          </w:p>
          <w:p w:rsidR="00000000" w:rsidDel="00000000" w:rsidP="00000000" w:rsidRDefault="00000000" w:rsidRPr="00000000" w14:paraId="00000087">
            <w:pPr>
              <w:ind w:left="0" w:firstLine="0"/>
              <w:rPr>
                <w:sz w:val="18"/>
                <w:szCs w:val="18"/>
              </w:rPr>
            </w:pPr>
            <w:r w:rsidDel="00000000" w:rsidR="00000000" w:rsidRPr="00000000">
              <w:rPr>
                <w:rFonts w:ascii="Helvetica Neue" w:cs="Helvetica Neue" w:eastAsia="Helvetica Neue" w:hAnsi="Helvetica Neue"/>
                <w:sz w:val="18"/>
                <w:szCs w:val="18"/>
                <w:rtl w:val="0"/>
              </w:rPr>
              <w:t xml:space="preserve">- musei locali</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B">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rFonts w:ascii="Helvetica Neue" w:cs="Helvetica Neue" w:eastAsia="Helvetica Neue" w:hAnsi="Helvetica Neue"/>
                <w:sz w:val="18"/>
                <w:szCs w:val="18"/>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rFonts w:ascii="Helvetica Neue" w:cs="Helvetica Neue" w:eastAsia="Helvetica Neue" w:hAnsi="Helvetica Neue"/>
              </w:rPr>
            </w:pPr>
            <w:r w:rsidDel="00000000" w:rsidR="00000000" w:rsidRPr="00000000">
              <w:rPr>
                <w:rtl w:val="0"/>
              </w:rPr>
            </w:r>
          </w:p>
        </w:tc>
      </w:tr>
      <w:tr>
        <w:trPr>
          <w:cantSplit w:val="0"/>
          <w:trHeight w:val="40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CE">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ind w:left="196" w:firstLine="0"/>
              <w:rPr>
                <w:sz w:val="18"/>
                <w:szCs w:val="18"/>
              </w:rPr>
            </w:pPr>
            <w:r w:rsidDel="00000000" w:rsidR="00000000" w:rsidRPr="00000000">
              <w:rPr>
                <w:rtl w:val="0"/>
              </w:rPr>
            </w:r>
          </w:p>
        </w:tc>
      </w:tr>
    </w:tbl>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0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0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0D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0DE">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4445.0" w:type="dxa"/>
        <w:jc w:val="left"/>
        <w:tblInd w:w="261.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5880"/>
        <w:gridCol w:w="2490"/>
        <w:gridCol w:w="1200"/>
        <w:gridCol w:w="3585"/>
        <w:gridCol w:w="645"/>
        <w:gridCol w:w="645"/>
        <w:tblGridChange w:id="0">
          <w:tblGrid>
            <w:gridCol w:w="5880"/>
            <w:gridCol w:w="2490"/>
            <w:gridCol w:w="1200"/>
            <w:gridCol w:w="3585"/>
            <w:gridCol w:w="645"/>
            <w:gridCol w:w="645"/>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DF">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0">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1">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3">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4">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5">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E6">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nei paesaggi e nella storia le principali trasformazioni operate dall’uomo;</w:t>
            </w:r>
            <w:r w:rsidDel="00000000" w:rsidR="00000000" w:rsidRPr="00000000">
              <w:rPr>
                <w:rtl w:val="0"/>
              </w:rPr>
            </w:r>
          </w:p>
          <w:p w:rsidR="00000000" w:rsidDel="00000000" w:rsidP="00000000" w:rsidRDefault="00000000" w:rsidRPr="00000000" w14:paraId="000000E7">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gli elementi fisici e antropici nello spazio geografico;</w:t>
            </w:r>
            <w:r w:rsidDel="00000000" w:rsidR="00000000" w:rsidRPr="00000000">
              <w:rPr>
                <w:rtl w:val="0"/>
              </w:rPr>
            </w:r>
          </w:p>
          <w:p w:rsidR="00000000" w:rsidDel="00000000" w:rsidP="00000000" w:rsidRDefault="00000000" w:rsidRPr="00000000" w14:paraId="000000E8">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riflettere su alcune trasformazioni ambientali naturali e ad opera dell’uomo;</w:t>
            </w:r>
            <w:r w:rsidDel="00000000" w:rsidR="00000000" w:rsidRPr="00000000">
              <w:rPr>
                <w:rtl w:val="0"/>
              </w:rPr>
            </w:r>
          </w:p>
          <w:p w:rsidR="00000000" w:rsidDel="00000000" w:rsidP="00000000" w:rsidRDefault="00000000" w:rsidRPr="00000000" w14:paraId="000000E9">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apprezzare le caratteristiche di valore ambientale nel territorio;</w:t>
            </w:r>
            <w:r w:rsidDel="00000000" w:rsidR="00000000" w:rsidRPr="00000000">
              <w:rPr>
                <w:rtl w:val="0"/>
              </w:rPr>
            </w:r>
          </w:p>
          <w:p w:rsidR="00000000" w:rsidDel="00000000" w:rsidP="00000000" w:rsidRDefault="00000000" w:rsidRPr="00000000" w14:paraId="000000EA">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adottare comportamenti ecologicamente sostenibili e nel rispetto della biodiversità;</w:t>
            </w:r>
            <w:r w:rsidDel="00000000" w:rsidR="00000000" w:rsidRPr="00000000">
              <w:rPr>
                <w:rtl w:val="0"/>
              </w:rPr>
            </w:r>
          </w:p>
          <w:p w:rsidR="00000000" w:rsidDel="00000000" w:rsidP="00000000" w:rsidRDefault="00000000" w:rsidRPr="00000000" w14:paraId="000000EB">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praticare forme di riuso e riciclo delle risorse;</w:t>
            </w:r>
            <w:r w:rsidDel="00000000" w:rsidR="00000000" w:rsidRPr="00000000">
              <w:rPr>
                <w:rtl w:val="0"/>
              </w:rPr>
            </w:r>
          </w:p>
          <w:p w:rsidR="00000000" w:rsidDel="00000000" w:rsidP="00000000" w:rsidRDefault="00000000" w:rsidRPr="00000000" w14:paraId="000000EC">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alcune forme di energia;</w:t>
            </w:r>
            <w:r w:rsidDel="00000000" w:rsidR="00000000" w:rsidRPr="00000000">
              <w:rPr>
                <w:rtl w:val="0"/>
              </w:rPr>
            </w:r>
          </w:p>
          <w:p w:rsidR="00000000" w:rsidDel="00000000" w:rsidP="00000000" w:rsidRDefault="00000000" w:rsidRPr="00000000" w14:paraId="000000ED">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l’importanza della cura di sé, degli altri e dell’ambiente.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definizione di risorse naturali;</w:t>
            </w:r>
            <w:r w:rsidDel="00000000" w:rsidR="00000000" w:rsidRPr="00000000">
              <w:rPr>
                <w:rtl w:val="0"/>
              </w:rPr>
            </w:r>
          </w:p>
          <w:p w:rsidR="00000000" w:rsidDel="00000000" w:rsidP="00000000" w:rsidRDefault="00000000" w:rsidRPr="00000000" w14:paraId="000000EF">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i segni dell’interazione uomo-ambiente nel territorio;</w:t>
            </w:r>
          </w:p>
          <w:p w:rsidR="00000000" w:rsidDel="00000000" w:rsidP="00000000" w:rsidRDefault="00000000" w:rsidRPr="00000000" w14:paraId="000000F0">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-definizione di ecosistema;</w:t>
            </w:r>
          </w:p>
          <w:p w:rsidR="00000000" w:rsidDel="00000000" w:rsidP="00000000" w:rsidRDefault="00000000" w:rsidRPr="00000000" w14:paraId="000000F1">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tutela dell’ambiente;</w:t>
            </w:r>
            <w:r w:rsidDel="00000000" w:rsidR="00000000" w:rsidRPr="00000000">
              <w:rPr>
                <w:rtl w:val="0"/>
              </w:rPr>
            </w:r>
          </w:p>
          <w:p w:rsidR="00000000" w:rsidDel="00000000" w:rsidP="00000000" w:rsidRDefault="00000000" w:rsidRPr="00000000" w14:paraId="000000F2">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risparmio, riuso, riciclo;</w:t>
            </w:r>
          </w:p>
          <w:p w:rsidR="00000000" w:rsidDel="00000000" w:rsidP="00000000" w:rsidRDefault="00000000" w:rsidRPr="00000000" w14:paraId="000000F3">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rapporto tra alimentazione e salute;</w:t>
            </w:r>
            <w:r w:rsidDel="00000000" w:rsidR="00000000" w:rsidRPr="00000000">
              <w:rPr>
                <w:rtl w:val="0"/>
              </w:rPr>
            </w:r>
          </w:p>
          <w:p w:rsidR="00000000" w:rsidDel="00000000" w:rsidP="00000000" w:rsidRDefault="00000000" w:rsidRPr="00000000" w14:paraId="000000F4">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-musica e cultura.</w:t>
            </w:r>
          </w:p>
          <w:p w:rsidR="00000000" w:rsidDel="00000000" w:rsidP="00000000" w:rsidRDefault="00000000" w:rsidRPr="00000000" w14:paraId="000000F5">
            <w:pPr>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rFonts w:ascii="Helvetica Neue" w:cs="Helvetica Neue" w:eastAsia="Helvetica Neue" w:hAnsi="Helvetica Neue"/>
                <w:sz w:val="18"/>
                <w:szCs w:val="18"/>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rPr>
                <w:rFonts w:ascii="Helvetica Neue" w:cs="Helvetica Neue" w:eastAsia="Helvetica Neue" w:hAnsi="Helvetica Neue"/>
              </w:rPr>
            </w:pPr>
            <w:r w:rsidDel="00000000" w:rsidR="00000000" w:rsidRPr="00000000">
              <w:rPr>
                <w:rtl w:val="0"/>
              </w:rPr>
            </w:r>
          </w:p>
        </w:tc>
      </w:tr>
      <w:tr>
        <w:trPr>
          <w:cantSplit w:val="0"/>
          <w:trHeight w:val="37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3C">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ind w:left="196" w:firstLine="0"/>
              <w:rPr>
                <w:sz w:val="18"/>
                <w:szCs w:val="18"/>
              </w:rPr>
            </w:pPr>
            <w:r w:rsidDel="00000000" w:rsidR="00000000" w:rsidRPr="00000000">
              <w:rPr>
                <w:rtl w:val="0"/>
              </w:rPr>
            </w:r>
          </w:p>
        </w:tc>
      </w:tr>
    </w:tbl>
    <w:p w:rsidR="00000000" w:rsidDel="00000000" w:rsidP="00000000" w:rsidRDefault="00000000" w:rsidRPr="00000000" w14:paraId="00000142">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3">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4">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4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14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14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14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14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1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15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15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152">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3">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4">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5">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7">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8">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59">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5A">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gestire il dispositivo per accedere, esplorare, modificare, archiviare materiali;</w:t>
            </w:r>
            <w:r w:rsidDel="00000000" w:rsidR="00000000" w:rsidRPr="00000000">
              <w:rPr>
                <w:rtl w:val="0"/>
              </w:rPr>
            </w:r>
          </w:p>
          <w:p w:rsidR="00000000" w:rsidDel="00000000" w:rsidP="00000000" w:rsidRDefault="00000000" w:rsidRPr="00000000" w14:paraId="0000015B">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prendersi cura del dispositivo a disposizione;</w:t>
            </w:r>
            <w:r w:rsidDel="00000000" w:rsidR="00000000" w:rsidRPr="00000000">
              <w:rPr>
                <w:rtl w:val="0"/>
              </w:rPr>
            </w:r>
          </w:p>
          <w:p w:rsidR="00000000" w:rsidDel="00000000" w:rsidP="00000000" w:rsidRDefault="00000000" w:rsidRPr="00000000" w14:paraId="0000015C">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accedere ed utilizzare risorse e materiali a disposizione sulle piattaforme didattiche adottate dalla scuola e con la supervisione dell</w:t>
            </w:r>
            <w:r w:rsidDel="00000000" w:rsidR="00000000" w:rsidRPr="00000000">
              <w:rPr>
                <w:rFonts w:ascii="Arimo" w:cs="Arimo" w:eastAsia="Arimo" w:hAnsi="Arimo"/>
                <w:sz w:val="18"/>
                <w:szCs w:val="18"/>
                <w:rtl w:val="0"/>
              </w:rPr>
              <w:t xml:space="preserve">’</w:t>
            </w:r>
            <w:r w:rsidDel="00000000" w:rsidR="00000000" w:rsidRPr="00000000">
              <w:rPr>
                <w:rFonts w:ascii="Helvetica Neue" w:cs="Helvetica Neue" w:eastAsia="Helvetica Neue" w:hAnsi="Helvetica Neue"/>
                <w:sz w:val="18"/>
                <w:szCs w:val="18"/>
                <w:rtl w:val="0"/>
              </w:rPr>
              <w:t xml:space="preserve">insegnante; </w:t>
            </w:r>
            <w:r w:rsidDel="00000000" w:rsidR="00000000" w:rsidRPr="00000000">
              <w:rPr>
                <w:rtl w:val="0"/>
              </w:rPr>
            </w:r>
          </w:p>
          <w:p w:rsidR="00000000" w:rsidDel="00000000" w:rsidP="00000000" w:rsidRDefault="00000000" w:rsidRPr="00000000" w14:paraId="0000015D">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ricercare digitalmente, con la guida dell’insegnante, risorse veicolate da diversi linguaggi secondo criteri dati;</w:t>
            </w:r>
            <w:r w:rsidDel="00000000" w:rsidR="00000000" w:rsidRPr="00000000">
              <w:rPr>
                <w:rtl w:val="0"/>
              </w:rPr>
            </w:r>
          </w:p>
          <w:p w:rsidR="00000000" w:rsidDel="00000000" w:rsidP="00000000" w:rsidRDefault="00000000" w:rsidRPr="00000000" w14:paraId="0000015E">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creare semplici elaborati per fornire messaggi intenzionali e coerenti con gli scopi prefissati;</w:t>
            </w:r>
            <w:r w:rsidDel="00000000" w:rsidR="00000000" w:rsidRPr="00000000">
              <w:rPr>
                <w:rtl w:val="0"/>
              </w:rPr>
            </w:r>
          </w:p>
          <w:p w:rsidR="00000000" w:rsidDel="00000000" w:rsidP="00000000" w:rsidRDefault="00000000" w:rsidRPr="00000000" w14:paraId="0000015F">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 caso di difficoltà, chiedere aiuto per risolvere un problema;</w:t>
            </w:r>
            <w:r w:rsidDel="00000000" w:rsidR="00000000" w:rsidRPr="00000000">
              <w:rPr>
                <w:rtl w:val="0"/>
              </w:rPr>
            </w:r>
          </w:p>
          <w:p w:rsidR="00000000" w:rsidDel="00000000" w:rsidP="00000000" w:rsidRDefault="00000000" w:rsidRPr="00000000" w14:paraId="00000160">
            <w:pPr>
              <w:numPr>
                <w:ilvl w:val="0"/>
                <w:numId w:val="12"/>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comunicare digitalmente con gli insegnanti attraverso gli strumenti tecnologici forniti dalla scuola e nel rispetto delle regole.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1">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diversi dispositivi;</w:t>
            </w:r>
            <w:r w:rsidDel="00000000" w:rsidR="00000000" w:rsidRPr="00000000">
              <w:rPr>
                <w:rtl w:val="0"/>
              </w:rPr>
            </w:r>
          </w:p>
          <w:p w:rsidR="00000000" w:rsidDel="00000000" w:rsidP="00000000" w:rsidRDefault="00000000" w:rsidRPr="00000000" w14:paraId="00000162">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struttura e le risorse della piattaforma della scuola;</w:t>
            </w:r>
            <w:r w:rsidDel="00000000" w:rsidR="00000000" w:rsidRPr="00000000">
              <w:rPr>
                <w:rtl w:val="0"/>
              </w:rPr>
            </w:r>
          </w:p>
          <w:p w:rsidR="00000000" w:rsidDel="00000000" w:rsidP="00000000" w:rsidRDefault="00000000" w:rsidRPr="00000000" w14:paraId="00000163">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la videoscrittura;</w:t>
            </w:r>
          </w:p>
          <w:p w:rsidR="00000000" w:rsidDel="00000000" w:rsidP="00000000" w:rsidRDefault="00000000" w:rsidRPr="00000000" w14:paraId="00000164">
            <w:pPr>
              <w:numPr>
                <w:ilvl w:val="0"/>
                <w:numId w:val="3"/>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mail.</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8">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E">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rPr>
                <w:rFonts w:ascii="Helvetica Neue" w:cs="Helvetica Neue" w:eastAsia="Helvetica Neue" w:hAnsi="Helvetica Neue"/>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rPr>
                <w:rFonts w:ascii="Helvetica Neue" w:cs="Helvetica Neue" w:eastAsia="Helvetica Neue" w:hAnsi="Helvetica Neue"/>
              </w:rPr>
            </w:pPr>
            <w:r w:rsidDel="00000000" w:rsidR="00000000" w:rsidRPr="00000000">
              <w:rPr>
                <w:rtl w:val="0"/>
              </w:rPr>
            </w:r>
          </w:p>
        </w:tc>
      </w:tr>
      <w:tr>
        <w:trPr>
          <w:cantSplit w:val="0"/>
          <w:trHeight w:val="43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AB">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ind w:left="196" w:firstLine="0"/>
              <w:rPr>
                <w:sz w:val="18"/>
                <w:szCs w:val="18"/>
              </w:rPr>
            </w:pPr>
            <w:r w:rsidDel="00000000" w:rsidR="00000000" w:rsidRPr="00000000">
              <w:rPr>
                <w:rtl w:val="0"/>
              </w:rPr>
            </w:r>
          </w:p>
        </w:tc>
      </w:tr>
    </w:tbl>
    <w:p w:rsidR="00000000" w:rsidDel="00000000" w:rsidP="00000000" w:rsidRDefault="00000000" w:rsidRPr="00000000" w14:paraId="000001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1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1B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1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1B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1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1BA">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4708.858091763634"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34.4998839139994"/>
        <w:gridCol w:w="1255.4999401330977"/>
        <w:gridCol w:w="3581.9291338582684"/>
        <w:gridCol w:w="641.9291338582684"/>
        <w:gridCol w:w="641.9291338582684"/>
        <w:tblGridChange w:id="0">
          <w:tblGrid>
            <w:gridCol w:w="6153.070866141733"/>
            <w:gridCol w:w="2434.4998839139994"/>
            <w:gridCol w:w="1255.4999401330977"/>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B">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C">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D">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BF">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0">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1">
            <w:pPr>
              <w:ind w:left="0" w:firstLine="0"/>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C2">
            <w:pPr>
              <w:numPr>
                <w:ilvl w:val="0"/>
                <w:numId w:val="5"/>
              </w:numPr>
              <w:ind w:left="141.73228346456688" w:hanging="135"/>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riconoscere banconote e monete;</w:t>
            </w:r>
          </w:p>
          <w:p w:rsidR="00000000" w:rsidDel="00000000" w:rsidP="00000000" w:rsidRDefault="00000000" w:rsidRPr="00000000" w14:paraId="000001C3">
            <w:pPr>
              <w:numPr>
                <w:ilvl w:val="0"/>
                <w:numId w:val="5"/>
              </w:numPr>
              <w:ind w:left="141.73228346456688" w:hanging="141.73228346456688"/>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saper definire prezzo ed utilità di un bene;</w:t>
            </w:r>
          </w:p>
          <w:p w:rsidR="00000000" w:rsidDel="00000000" w:rsidP="00000000" w:rsidRDefault="00000000" w:rsidRPr="00000000" w14:paraId="000001C4">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percorso storico-culturale degli strumenti di scambio nel periodo storico di studio;</w:t>
            </w:r>
            <w:r w:rsidDel="00000000" w:rsidR="00000000" w:rsidRPr="00000000">
              <w:rPr>
                <w:rtl w:val="0"/>
              </w:rPr>
            </w:r>
          </w:p>
          <w:p w:rsidR="00000000" w:rsidDel="00000000" w:rsidP="00000000" w:rsidRDefault="00000000" w:rsidRPr="00000000" w14:paraId="000001C5">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utilizzare il denaro e calcolare correttamente il resto;</w:t>
            </w:r>
            <w:r w:rsidDel="00000000" w:rsidR="00000000" w:rsidRPr="00000000">
              <w:rPr>
                <w:rtl w:val="0"/>
              </w:rPr>
            </w:r>
          </w:p>
          <w:p w:rsidR="00000000" w:rsidDel="00000000" w:rsidP="00000000" w:rsidRDefault="00000000" w:rsidRPr="00000000" w14:paraId="000001C6">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identificare le proprie entrate e uscite;</w:t>
            </w:r>
            <w:r w:rsidDel="00000000" w:rsidR="00000000" w:rsidRPr="00000000">
              <w:rPr>
                <w:rtl w:val="0"/>
              </w:rPr>
            </w:r>
          </w:p>
          <w:p w:rsidR="00000000" w:rsidDel="00000000" w:rsidP="00000000" w:rsidRDefault="00000000" w:rsidRPr="00000000" w14:paraId="000001C7">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concetto di risparmio;</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8">
            <w:pPr>
              <w:numPr>
                <w:ilvl w:val="0"/>
                <w:numId w:val="9"/>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origine, forme e funzioni della moneta;</w:t>
            </w:r>
            <w:r w:rsidDel="00000000" w:rsidR="00000000" w:rsidRPr="00000000">
              <w:rPr>
                <w:rtl w:val="0"/>
              </w:rPr>
            </w:r>
          </w:p>
          <w:p w:rsidR="00000000" w:rsidDel="00000000" w:rsidP="00000000" w:rsidRDefault="00000000" w:rsidRPr="00000000" w14:paraId="000001C9">
            <w:pPr>
              <w:numPr>
                <w:ilvl w:val="0"/>
                <w:numId w:val="9"/>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storia delle monete italiane e dell’Euro;</w:t>
            </w:r>
            <w:r w:rsidDel="00000000" w:rsidR="00000000" w:rsidRPr="00000000">
              <w:rPr>
                <w:rtl w:val="0"/>
              </w:rPr>
            </w:r>
          </w:p>
          <w:p w:rsidR="00000000" w:rsidDel="00000000" w:rsidP="00000000" w:rsidRDefault="00000000" w:rsidRPr="00000000" w14:paraId="000001CA">
            <w:pPr>
              <w:numPr>
                <w:ilvl w:val="0"/>
                <w:numId w:val="9"/>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prezzo e l’utilità di un bene;</w:t>
            </w:r>
            <w:r w:rsidDel="00000000" w:rsidR="00000000" w:rsidRPr="00000000">
              <w:rPr>
                <w:rtl w:val="0"/>
              </w:rPr>
            </w:r>
          </w:p>
          <w:p w:rsidR="00000000" w:rsidDel="00000000" w:rsidP="00000000" w:rsidRDefault="00000000" w:rsidRPr="00000000" w14:paraId="000001CB">
            <w:pPr>
              <w:numPr>
                <w:ilvl w:val="0"/>
                <w:numId w:val="9"/>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cenni storici sui sistemi e gli strumenti di scambio nel proprio periodo di studio;</w:t>
            </w:r>
            <w:r w:rsidDel="00000000" w:rsidR="00000000" w:rsidRPr="00000000">
              <w:rPr>
                <w:rtl w:val="0"/>
              </w:rPr>
            </w:r>
          </w:p>
          <w:p w:rsidR="00000000" w:rsidDel="00000000" w:rsidP="00000000" w:rsidRDefault="00000000" w:rsidRPr="00000000" w14:paraId="000001CC">
            <w:pPr>
              <w:ind w:left="0" w:firstLine="0"/>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  le operazioni elementari per il calcolo del denaro;</w:t>
            </w:r>
          </w:p>
          <w:p w:rsidR="00000000" w:rsidDel="00000000" w:rsidP="00000000" w:rsidRDefault="00000000" w:rsidRPr="00000000" w14:paraId="000001CD">
            <w:pPr>
              <w:numPr>
                <w:ilvl w:val="0"/>
                <w:numId w:val="9"/>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significato di entrate ed uscite personali;</w:t>
            </w:r>
            <w:r w:rsidDel="00000000" w:rsidR="00000000" w:rsidRPr="00000000">
              <w:rPr>
                <w:rtl w:val="0"/>
              </w:rPr>
            </w:r>
          </w:p>
          <w:p w:rsidR="00000000" w:rsidDel="00000000" w:rsidP="00000000" w:rsidRDefault="00000000" w:rsidRPr="00000000" w14:paraId="000001CE">
            <w:pPr>
              <w:numPr>
                <w:ilvl w:val="0"/>
                <w:numId w:val="9"/>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concetto di risparmio;</w:t>
            </w:r>
            <w:r w:rsidDel="00000000" w:rsidR="00000000" w:rsidRPr="00000000">
              <w:rPr>
                <w:rtl w:val="0"/>
              </w:rPr>
            </w:r>
          </w:p>
          <w:p w:rsidR="00000000" w:rsidDel="00000000" w:rsidP="00000000" w:rsidRDefault="00000000" w:rsidRPr="00000000" w14:paraId="000001CF">
            <w:pPr>
              <w:numPr>
                <w:ilvl w:val="0"/>
                <w:numId w:val="9"/>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moneta reale e moneta virtuale.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9">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F">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MATEMATICA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4">
            <w:pPr>
              <w:rPr>
                <w:rFonts w:ascii="Helvetica Neue" w:cs="Helvetica Neue" w:eastAsia="Helvetica Neue" w:hAnsi="Helvetica Neue"/>
                <w:sz w:val="22"/>
                <w:szCs w:val="22"/>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5">
            <w:pPr>
              <w:rPr>
                <w:rFonts w:ascii="Helvetica Neue" w:cs="Helvetica Neue" w:eastAsia="Helvetica Neue" w:hAnsi="Helvetica Neue"/>
              </w:rPr>
            </w:pPr>
            <w:r w:rsidDel="00000000" w:rsidR="00000000" w:rsidRPr="00000000">
              <w:rPr>
                <w:rtl w:val="0"/>
              </w:rPr>
            </w:r>
          </w:p>
        </w:tc>
      </w:tr>
      <w:tr>
        <w:trPr>
          <w:cantSplit w:val="0"/>
          <w:trHeight w:val="43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16">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ind w:left="196" w:firstLine="0"/>
              <w:rPr>
                <w:sz w:val="18"/>
                <w:szCs w:val="18"/>
              </w:rPr>
            </w:pPr>
            <w:r w:rsidDel="00000000" w:rsidR="00000000" w:rsidRPr="00000000">
              <w:rPr>
                <w:rtl w:val="0"/>
              </w:rPr>
            </w:r>
          </w:p>
        </w:tc>
      </w:tr>
    </w:tbl>
    <w:p w:rsidR="00000000" w:rsidDel="00000000" w:rsidP="00000000" w:rsidRDefault="00000000" w:rsidRPr="00000000" w14:paraId="0000021C">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1D">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1E">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1F">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20">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21">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2">
            <w:pPr>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223">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4">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225">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6">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22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8">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229">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A">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22B">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2C">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22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E">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2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1">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232">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3">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4">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6">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237">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8">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9">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A">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B">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23C">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3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E">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3F">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1">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242">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43">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4">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247">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2">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3">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4">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7">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8">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9">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10">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1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12">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JHgCGT97TUYiXGkEMKoXmvsQDg==">CgMxLjA4AHIhMTVRUHV5THo5OUluWS02YzBDNHdUdmVFcE9ndTFZT2RN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