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F75F00" w:rsidRDefault="00133E79" w:rsidP="00F75F00">
      <w:pPr>
        <w:pStyle w:val="Titolo2"/>
        <w:jc w:val="center"/>
        <w:rPr>
          <w:sz w:val="28"/>
          <w:szCs w:val="28"/>
        </w:rPr>
      </w:pPr>
      <w:r w:rsidRPr="00F75F00">
        <w:rPr>
          <w:sz w:val="28"/>
          <w:szCs w:val="28"/>
        </w:rPr>
        <w:t xml:space="preserve">Di </w:t>
      </w:r>
      <w:r w:rsidR="000C6FC0" w:rsidRPr="00F75F00">
        <w:rPr>
          <w:sz w:val="28"/>
          <w:szCs w:val="28"/>
        </w:rPr>
        <w:t>arte e immagine</w:t>
      </w:r>
    </w:p>
    <w:p w:rsidR="00133E79" w:rsidRPr="00F75F00" w:rsidRDefault="00133E79" w:rsidP="00F75F00">
      <w:pPr>
        <w:pStyle w:val="Titolo2"/>
        <w:jc w:val="center"/>
        <w:rPr>
          <w:sz w:val="28"/>
          <w:szCs w:val="28"/>
        </w:rPr>
      </w:pPr>
      <w:r w:rsidRPr="00F75F00">
        <w:rPr>
          <w:sz w:val="28"/>
          <w:szCs w:val="28"/>
        </w:rPr>
        <w:t>Primo biennio</w:t>
      </w:r>
    </w:p>
    <w:p w:rsidR="000C6FC0" w:rsidRPr="00F75F00" w:rsidRDefault="000C6FC0" w:rsidP="00F75F00">
      <w:pPr>
        <w:pStyle w:val="Titolo1"/>
        <w:rPr>
          <w:rFonts w:eastAsia="Biancoenero Regular"/>
        </w:rPr>
      </w:pPr>
      <w:r w:rsidRPr="00F75F00">
        <w:rPr>
          <w:rFonts w:eastAsia="Biancoenero Regular"/>
        </w:rPr>
        <w:t>Competenza 1: riconoscere gli elementi fondamentali del linguaggio visuale e</w:t>
      </w:r>
      <w:r w:rsidR="00F75F00">
        <w:rPr>
          <w:rFonts w:eastAsia="Biancoenero Regular"/>
        </w:rPr>
        <w:t xml:space="preserve"> </w:t>
      </w:r>
      <w:r w:rsidRPr="00F75F00">
        <w:rPr>
          <w:rFonts w:eastAsia="Biancoenero Regular"/>
        </w:rPr>
        <w:t>utilizzarli nelle proprie rappresentazioni grafiche, pittoriche e plastiche.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di…</w:t>
            </w:r>
            <w:proofErr w:type="spellEnd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..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F75F00">
              <w:rPr>
                <w:rFonts w:eastAsia="Biancoenero Regular"/>
                <w:color w:val="000000"/>
              </w:rPr>
              <w:t xml:space="preserve">Conoscere e utilizzare il colore </w:t>
            </w: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F75F00">
              <w:rPr>
                <w:rFonts w:eastAsia="Biancoenero Regular"/>
                <w:color w:val="000000"/>
              </w:rPr>
              <w:t xml:space="preserve">Utilizzare il colore in modo creativo e ludico </w:t>
            </w: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F75F00">
              <w:rPr>
                <w:rFonts w:eastAsia="Biancoenero Regular"/>
                <w:color w:val="000000"/>
              </w:rPr>
              <w:t xml:space="preserve">Utilizzare impronte e forme per creare ritmi, </w:t>
            </w: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F75F00">
              <w:rPr>
                <w:rFonts w:eastAsia="Biancoenero Regular"/>
                <w:color w:val="000000"/>
              </w:rPr>
              <w:t xml:space="preserve">configurazioni e semplici composizioni 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iniziano a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conoscere…</w:t>
            </w:r>
            <w:proofErr w:type="spellEnd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.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ind w:left="457"/>
              <w:rPr>
                <w:rFonts w:eastAsia="Biancoenero Regular"/>
              </w:rPr>
            </w:pPr>
            <w:r w:rsidRPr="00F75F00">
              <w:rPr>
                <w:rFonts w:eastAsia="Biancoenero Regular"/>
              </w:rPr>
              <w:t>Conoscere e utilizzare alcune tecniche e alcuni materiali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0C6FC0" w:rsidRPr="00F75F00" w:rsidRDefault="000C6FC0" w:rsidP="000C6FC0">
      <w:pPr>
        <w:ind w:hanging="2"/>
        <w:rPr>
          <w:rFonts w:ascii="Times New Roman" w:eastAsia="Quattrocento Sans" w:hAnsi="Times New Roman" w:cs="Times New Roman"/>
          <w:sz w:val="24"/>
          <w:szCs w:val="24"/>
        </w:rPr>
      </w:pPr>
    </w:p>
    <w:p w:rsidR="000C6FC0" w:rsidRPr="00F75F00" w:rsidRDefault="000C6FC0" w:rsidP="00F75F00">
      <w:pPr>
        <w:pStyle w:val="Titolo1"/>
      </w:pPr>
      <w:r w:rsidRPr="00F75F00">
        <w:br w:type="page"/>
      </w:r>
      <w:r w:rsidRPr="00F75F00">
        <w:lastRenderedPageBreak/>
        <w:t>Competenza 2: comunicare emozioni ed esperienze del proprio vissuto attraverso la pratica di tecniche artistiche bidimensionali e tridimensionali.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di…</w:t>
            </w:r>
            <w:proofErr w:type="spellEnd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rPr>
                <w:rFonts w:eastAsia="Biancoenero Regular"/>
              </w:rPr>
            </w:pPr>
            <w:r w:rsidRPr="00F75F00">
              <w:rPr>
                <w:rFonts w:eastAsia="Biancoenero Regular"/>
              </w:rPr>
              <w:t xml:space="preserve">riconoscere nella realtà e nella rappresentazione le relazioni spaziali: vicinanza, sopra – sotto, destra – sinistra, dentro – fuori, davanti – dietro.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0C6FC0">
            <w:pPr>
              <w:pStyle w:val="Paragrafoelenco"/>
              <w:numPr>
                <w:ilvl w:val="0"/>
                <w:numId w:val="7"/>
              </w:numPr>
              <w:rPr>
                <w:rFonts w:eastAsia="Biancoenero Regular"/>
              </w:rPr>
            </w:pPr>
            <w:r w:rsidRPr="00F75F00">
              <w:rPr>
                <w:rFonts w:eastAsia="Biancoenero Regular"/>
              </w:rPr>
              <w:t xml:space="preserve">utilizzare alcune tecniche diverse.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conoscono…</w:t>
            </w:r>
            <w:proofErr w:type="spellEnd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-Uso della matita , pastelli, colori a cera, colori a tempera, acquerelli, pennarelli, materiali naturali e di recupero.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0C6FC0" w:rsidRPr="00F75F00" w:rsidRDefault="000C6FC0" w:rsidP="000C6FC0">
      <w:pPr>
        <w:ind w:hanging="2"/>
        <w:rPr>
          <w:rFonts w:ascii="Times New Roman" w:eastAsia="Quattrocento Sans" w:hAnsi="Times New Roman" w:cs="Times New Roman"/>
          <w:sz w:val="24"/>
          <w:szCs w:val="24"/>
        </w:rPr>
      </w:pPr>
    </w:p>
    <w:p w:rsidR="000C6FC0" w:rsidRPr="00F75F00" w:rsidRDefault="000C6FC0" w:rsidP="00F75F00">
      <w:pPr>
        <w:pStyle w:val="Titolo1"/>
        <w:rPr>
          <w:rFonts w:eastAsia="Biancoenero Regular"/>
        </w:rPr>
      </w:pPr>
      <w:r w:rsidRPr="00F75F00">
        <w:br w:type="page"/>
      </w:r>
      <w:r w:rsidRPr="00F75F00">
        <w:rPr>
          <w:rFonts w:eastAsia="Biancoenero Regular"/>
        </w:rPr>
        <w:lastRenderedPageBreak/>
        <w:t>Competenza 3: rielaborare, ricombinare e modificare creativamente immagini, forme e materiali.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iniziano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ad…</w:t>
            </w:r>
            <w:proofErr w:type="spellEnd"/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Utilizzare gli elementi del linguaggio visivo in modo creativo.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Rappresentare graficamente la realtà del mondo circostante (superando molto gradualmente gli stereotipi infantili)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sperimentano…</w:t>
            </w:r>
            <w:proofErr w:type="spellEnd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Uso di materiali diversi in situazioni diverse per esprimere la propria creatività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0C6FC0" w:rsidRPr="00F75F00" w:rsidRDefault="000C6FC0" w:rsidP="000C6FC0">
      <w:pPr>
        <w:ind w:hanging="2"/>
        <w:rPr>
          <w:rFonts w:ascii="Times New Roman" w:eastAsia="Quattrocento Sans" w:hAnsi="Times New Roman" w:cs="Times New Roman"/>
          <w:sz w:val="24"/>
          <w:szCs w:val="24"/>
        </w:rPr>
      </w:pPr>
    </w:p>
    <w:p w:rsidR="000C6FC0" w:rsidRPr="00F75F00" w:rsidRDefault="000C6FC0" w:rsidP="00F75F00">
      <w:pPr>
        <w:pStyle w:val="Titolo1"/>
        <w:rPr>
          <w:rFonts w:eastAsia="Biancoenero Regular"/>
        </w:rPr>
      </w:pPr>
      <w:r w:rsidRPr="00F75F00">
        <w:br w:type="page"/>
      </w:r>
      <w:r w:rsidRPr="00F75F00">
        <w:rPr>
          <w:rFonts w:eastAsia="Biancoenero Regular"/>
        </w:rPr>
        <w:lastRenderedPageBreak/>
        <w:t>Competenza 4: dimostrare consapevolezza del sé attraverso la rappresentazione della figura umana.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C6FC0" w:rsidRPr="00F75F00" w:rsidTr="00A3121D">
        <w:trPr>
          <w:cantSplit/>
          <w:tblHeader/>
        </w:trPr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iniziano a 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prendere gradualmente coscienza dello schema corporeo.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Con il passare del tempo apprenderanno a rappresentarlo in modo via </w:t>
            </w:r>
            <w:proofErr w:type="spellStart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via</w:t>
            </w:r>
            <w:proofErr w:type="spellEnd"/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sempre </w:t>
            </w:r>
          </w:p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più strutturato.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Il bambino e la bambina superano gradualmente alcuni stereotipi.</w:t>
            </w:r>
          </w:p>
        </w:tc>
        <w:tc>
          <w:tcPr>
            <w:tcW w:w="5102" w:type="dxa"/>
          </w:tcPr>
          <w:p w:rsidR="000C6FC0" w:rsidRPr="00F75F00" w:rsidRDefault="000C6FC0" w:rsidP="00632DC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b/>
          <w:sz w:val="24"/>
          <w:szCs w:val="24"/>
        </w:rPr>
        <w:t xml:space="preserve">ALLEGATO:  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COLORE ED ELEMENTI DEL LINGUAGGIO GRAFICO</w:t>
      </w:r>
    </w:p>
    <w:p w:rsidR="000C6FC0" w:rsidRPr="00F75F00" w:rsidRDefault="000C6FC0" w:rsidP="000C6FC0">
      <w:pPr>
        <w:numPr>
          <w:ilvl w:val="0"/>
          <w:numId w:val="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Punti</w:t>
      </w:r>
    </w:p>
    <w:p w:rsidR="000C6FC0" w:rsidRPr="00F75F00" w:rsidRDefault="000C6FC0" w:rsidP="000C6FC0">
      <w:pPr>
        <w:numPr>
          <w:ilvl w:val="0"/>
          <w:numId w:val="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Linee diverse</w:t>
      </w:r>
    </w:p>
    <w:p w:rsidR="000C6FC0" w:rsidRPr="00F75F00" w:rsidRDefault="000C6FC0" w:rsidP="000C6FC0">
      <w:pPr>
        <w:numPr>
          <w:ilvl w:val="0"/>
          <w:numId w:val="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Ritmi e composizioni</w:t>
      </w:r>
    </w:p>
    <w:p w:rsidR="000C6FC0" w:rsidRPr="00F75F00" w:rsidRDefault="000C6FC0" w:rsidP="000C6FC0">
      <w:pPr>
        <w:numPr>
          <w:ilvl w:val="0"/>
          <w:numId w:val="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Campiture (forme)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REALTA’ E RELAZIONI SPAZIALI</w:t>
      </w:r>
    </w:p>
    <w:p w:rsidR="000C6FC0" w:rsidRPr="00F75F00" w:rsidRDefault="000C6FC0" w:rsidP="000C6FC0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Lo spazio del foglio</w:t>
      </w:r>
    </w:p>
    <w:p w:rsidR="000C6FC0" w:rsidRPr="00F75F00" w:rsidRDefault="000C6FC0" w:rsidP="000C6FC0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lastRenderedPageBreak/>
        <w:t>Sotto, sopra</w:t>
      </w:r>
    </w:p>
    <w:p w:rsidR="000C6FC0" w:rsidRPr="00F75F00" w:rsidRDefault="000C6FC0" w:rsidP="000C6FC0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Destra, sinistra</w:t>
      </w:r>
    </w:p>
    <w:p w:rsidR="000C6FC0" w:rsidRPr="00F75F00" w:rsidRDefault="000C6FC0" w:rsidP="000C6FC0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Dentro, fuori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TECNICHE E MATERIALI</w:t>
      </w:r>
    </w:p>
    <w:p w:rsidR="000C6FC0" w:rsidRPr="00F75F00" w:rsidRDefault="000C6FC0" w:rsidP="000C6FC0">
      <w:pPr>
        <w:numPr>
          <w:ilvl w:val="0"/>
          <w:numId w:val="5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Spugnette, timbri, sagome</w:t>
      </w:r>
    </w:p>
    <w:p w:rsidR="000C6FC0" w:rsidRPr="00F75F00" w:rsidRDefault="000C6FC0" w:rsidP="000C6FC0">
      <w:pPr>
        <w:numPr>
          <w:ilvl w:val="0"/>
          <w:numId w:val="5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Bastoncini cotonati</w:t>
      </w:r>
    </w:p>
    <w:p w:rsidR="000C6FC0" w:rsidRPr="00F75F00" w:rsidRDefault="000C6FC0" w:rsidP="000C6FC0">
      <w:pPr>
        <w:numPr>
          <w:ilvl w:val="0"/>
          <w:numId w:val="5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Pennello</w:t>
      </w:r>
    </w:p>
    <w:p w:rsidR="000C6FC0" w:rsidRPr="00F75F00" w:rsidRDefault="000C6FC0" w:rsidP="000C6FC0">
      <w:pPr>
        <w:numPr>
          <w:ilvl w:val="0"/>
          <w:numId w:val="5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matite colorate, pennarelli, colori a tempera, acquerelli, colori a cera/olio</w:t>
      </w:r>
    </w:p>
    <w:p w:rsidR="000C6FC0" w:rsidRPr="00F75F00" w:rsidRDefault="000C6FC0" w:rsidP="000C6FC0">
      <w:pPr>
        <w:numPr>
          <w:ilvl w:val="0"/>
          <w:numId w:val="5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fogli da disegno e cartoncini</w:t>
      </w:r>
    </w:p>
    <w:p w:rsidR="000C6FC0" w:rsidRPr="00F75F00" w:rsidRDefault="000C6FC0" w:rsidP="000C6FC0">
      <w:pPr>
        <w:numPr>
          <w:ilvl w:val="0"/>
          <w:numId w:val="5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Materiali di recupero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SCHEMA CORPOREO</w:t>
      </w:r>
    </w:p>
    <w:p w:rsidR="000C6FC0" w:rsidRPr="00F75F00" w:rsidRDefault="000C6FC0" w:rsidP="000C6F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Mani e piedi (loro impronte) </w:t>
      </w:r>
    </w:p>
    <w:p w:rsidR="000C6FC0" w:rsidRPr="00F75F00" w:rsidRDefault="000C6FC0" w:rsidP="000C6F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color w:val="000000"/>
          <w:sz w:val="24"/>
          <w:szCs w:val="24"/>
        </w:rPr>
        <w:t>Viso e parti del viso</w:t>
      </w:r>
    </w:p>
    <w:p w:rsidR="000C6FC0" w:rsidRPr="00F75F00" w:rsidRDefault="000C6FC0" w:rsidP="000C6FC0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>COLLEGAMENTI CON STAGIONI E FESTIVITA’</w:t>
      </w:r>
    </w:p>
    <w:p w:rsidR="000C6FC0" w:rsidRPr="00F75F00" w:rsidRDefault="000C6FC0" w:rsidP="000C6FC0">
      <w:pPr>
        <w:ind w:left="780"/>
        <w:rPr>
          <w:rFonts w:ascii="Times New Roman" w:eastAsia="Biancoenero Regular" w:hAnsi="Times New Roman" w:cs="Times New Roman"/>
          <w:sz w:val="24"/>
          <w:szCs w:val="24"/>
        </w:rPr>
      </w:pPr>
    </w:p>
    <w:p w:rsidR="000C6FC0" w:rsidRPr="00F75F00" w:rsidRDefault="000C6FC0" w:rsidP="000C6FC0">
      <w:pPr>
        <w:numPr>
          <w:ilvl w:val="0"/>
          <w:numId w:val="3"/>
        </w:numPr>
        <w:spacing w:after="0" w:line="240" w:lineRule="auto"/>
        <w:rPr>
          <w:rFonts w:ascii="Times New Roman" w:eastAsia="Biancoenero Regular" w:hAnsi="Times New Roman" w:cs="Times New Roman"/>
          <w:sz w:val="24"/>
          <w:szCs w:val="24"/>
        </w:rPr>
      </w:pPr>
      <w:r w:rsidRPr="00F75F00">
        <w:rPr>
          <w:rFonts w:ascii="Times New Roman" w:eastAsia="Biancoenero Regular" w:hAnsi="Times New Roman" w:cs="Times New Roman"/>
          <w:sz w:val="24"/>
          <w:szCs w:val="24"/>
        </w:rPr>
        <w:t xml:space="preserve">St. Martin, </w:t>
      </w:r>
      <w:proofErr w:type="spellStart"/>
      <w:r w:rsidRPr="00F75F00">
        <w:rPr>
          <w:rFonts w:ascii="Times New Roman" w:eastAsia="Biancoenero Regular" w:hAnsi="Times New Roman" w:cs="Times New Roman"/>
          <w:sz w:val="24"/>
          <w:szCs w:val="24"/>
        </w:rPr>
        <w:t>Adventszeit</w:t>
      </w:r>
      <w:proofErr w:type="spellEnd"/>
      <w:r w:rsidRPr="00F75F00">
        <w:rPr>
          <w:rFonts w:ascii="Times New Roman" w:eastAsia="Biancoenero Regular" w:hAnsi="Times New Roman" w:cs="Times New Roman"/>
          <w:sz w:val="24"/>
          <w:szCs w:val="24"/>
        </w:rPr>
        <w:t xml:space="preserve">, St. </w:t>
      </w:r>
      <w:proofErr w:type="spellStart"/>
      <w:r w:rsidRPr="00F75F00">
        <w:rPr>
          <w:rFonts w:ascii="Times New Roman" w:eastAsia="Biancoenero Regular" w:hAnsi="Times New Roman" w:cs="Times New Roman"/>
          <w:sz w:val="24"/>
          <w:szCs w:val="24"/>
        </w:rPr>
        <w:t>Nikolaus</w:t>
      </w:r>
      <w:proofErr w:type="spellEnd"/>
      <w:r w:rsidRPr="00F75F00">
        <w:rPr>
          <w:rFonts w:ascii="Times New Roman" w:eastAsia="Biancoenero Regular" w:hAnsi="Times New Roman" w:cs="Times New Roman"/>
          <w:sz w:val="24"/>
          <w:szCs w:val="24"/>
        </w:rPr>
        <w:t xml:space="preserve">, </w:t>
      </w:r>
      <w:proofErr w:type="spellStart"/>
      <w:r w:rsidRPr="00F75F00">
        <w:rPr>
          <w:rFonts w:ascii="Times New Roman" w:eastAsia="Biancoenero Regular" w:hAnsi="Times New Roman" w:cs="Times New Roman"/>
          <w:sz w:val="24"/>
          <w:szCs w:val="24"/>
        </w:rPr>
        <w:t>Weihnachten</w:t>
      </w:r>
      <w:proofErr w:type="spellEnd"/>
      <w:r w:rsidRPr="00F75F00">
        <w:rPr>
          <w:rFonts w:ascii="Times New Roman" w:eastAsia="Biancoenero Regular" w:hAnsi="Times New Roman" w:cs="Times New Roman"/>
          <w:sz w:val="24"/>
          <w:szCs w:val="24"/>
        </w:rPr>
        <w:t xml:space="preserve">, </w:t>
      </w:r>
      <w:proofErr w:type="spellStart"/>
      <w:r w:rsidRPr="00F75F00">
        <w:rPr>
          <w:rFonts w:ascii="Times New Roman" w:eastAsia="Biancoenero Regular" w:hAnsi="Times New Roman" w:cs="Times New Roman"/>
          <w:sz w:val="24"/>
          <w:szCs w:val="24"/>
        </w:rPr>
        <w:t>Karneval</w:t>
      </w:r>
      <w:proofErr w:type="spellEnd"/>
      <w:r w:rsidRPr="00F75F00">
        <w:rPr>
          <w:rFonts w:ascii="Times New Roman" w:eastAsia="Biancoenero Regular" w:hAnsi="Times New Roman" w:cs="Times New Roman"/>
          <w:sz w:val="24"/>
          <w:szCs w:val="24"/>
        </w:rPr>
        <w:t xml:space="preserve">, </w:t>
      </w:r>
      <w:proofErr w:type="spellStart"/>
      <w:r w:rsidRPr="00F75F00">
        <w:rPr>
          <w:rFonts w:ascii="Times New Roman" w:eastAsia="Biancoenero Regular" w:hAnsi="Times New Roman" w:cs="Times New Roman"/>
          <w:sz w:val="24"/>
          <w:szCs w:val="24"/>
        </w:rPr>
        <w:t>Ostern</w:t>
      </w:r>
      <w:proofErr w:type="spellEnd"/>
    </w:p>
    <w:p w:rsidR="000C6FC0" w:rsidRPr="00F75F00" w:rsidRDefault="000C6FC0" w:rsidP="000C6FC0">
      <w:pPr>
        <w:ind w:hanging="2"/>
        <w:rPr>
          <w:rFonts w:ascii="Times New Roman" w:eastAsia="Quattrocento Sans" w:hAnsi="Times New Roman" w:cs="Times New Roman"/>
          <w:sz w:val="24"/>
          <w:szCs w:val="24"/>
        </w:rPr>
      </w:pPr>
    </w:p>
    <w:p w:rsidR="00133E79" w:rsidRPr="00F75F00" w:rsidRDefault="00133E79">
      <w:pPr>
        <w:rPr>
          <w:rFonts w:ascii="Times New Roman" w:hAnsi="Times New Roman" w:cs="Times New Roman"/>
          <w:sz w:val="24"/>
          <w:szCs w:val="24"/>
        </w:rPr>
      </w:pPr>
    </w:p>
    <w:sectPr w:rsidR="00133E79" w:rsidRPr="00F75F00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0B52D1" w:rsidP="00CA7371">
    <w:pPr>
      <w:pStyle w:val="Pidipagina"/>
      <w:jc w:val="center"/>
      <w:rPr>
        <w:sz w:val="18"/>
      </w:rPr>
    </w:pPr>
    <w:r w:rsidRPr="000B52D1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0B52D1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A3121D" w:rsidRPr="00A3121D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5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70ED"/>
    <w:multiLevelType w:val="multilevel"/>
    <w:tmpl w:val="EAB2523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1475"/>
    <w:multiLevelType w:val="multilevel"/>
    <w:tmpl w:val="1D7C932E"/>
    <w:lvl w:ilvl="0">
      <w:start w:val="1"/>
      <w:numFmt w:val="bullet"/>
      <w:lvlText w:val="−"/>
      <w:lvlJc w:val="left"/>
      <w:pPr>
        <w:ind w:left="1140" w:hanging="420"/>
      </w:pPr>
      <w:rPr>
        <w:rFonts w:ascii="Noto Sans" w:eastAsia="Noto Sans" w:hAnsi="Noto Sans" w:cs="Noto Sans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A7960"/>
    <w:multiLevelType w:val="multilevel"/>
    <w:tmpl w:val="463AB0DA"/>
    <w:lvl w:ilvl="0">
      <w:start w:val="1"/>
      <w:numFmt w:val="bullet"/>
      <w:lvlText w:val="−"/>
      <w:lvlJc w:val="left"/>
      <w:pPr>
        <w:ind w:left="108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4" w:hanging="360"/>
      </w:pPr>
      <w:rPr>
        <w:rFonts w:ascii="Noto Sans" w:eastAsia="Noto Sans" w:hAnsi="Noto Sans" w:cs="Noto Sans"/>
      </w:rPr>
    </w:lvl>
  </w:abstractNum>
  <w:abstractNum w:abstractNumId="3">
    <w:nsid w:val="35C21EB4"/>
    <w:multiLevelType w:val="multilevel"/>
    <w:tmpl w:val="0F4E5E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3527A2"/>
    <w:multiLevelType w:val="multilevel"/>
    <w:tmpl w:val="4650DC90"/>
    <w:lvl w:ilvl="0">
      <w:start w:val="1"/>
      <w:numFmt w:val="bullet"/>
      <w:lvlText w:val="−"/>
      <w:lvlJc w:val="left"/>
      <w:pPr>
        <w:ind w:left="1140" w:hanging="420"/>
      </w:pPr>
      <w:rPr>
        <w:rFonts w:ascii="Noto Sans" w:eastAsia="Noto Sans" w:hAnsi="Noto Sans" w:cs="Noto Sans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157CB3"/>
    <w:multiLevelType w:val="multilevel"/>
    <w:tmpl w:val="5A04CA3E"/>
    <w:lvl w:ilvl="0">
      <w:start w:val="1"/>
      <w:numFmt w:val="bullet"/>
      <w:lvlText w:val="−"/>
      <w:lvlJc w:val="left"/>
      <w:pPr>
        <w:ind w:left="1140" w:hanging="420"/>
      </w:pPr>
      <w:rPr>
        <w:rFonts w:ascii="Noto Sans" w:eastAsia="Noto Sans" w:hAnsi="Noto Sans" w:cs="Noto San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C7A7E"/>
    <w:multiLevelType w:val="hybridMultilevel"/>
    <w:tmpl w:val="81A2C462"/>
    <w:lvl w:ilvl="0" w:tplc="FCBC61CE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B52D1"/>
    <w:rsid w:val="000C6FC0"/>
    <w:rsid w:val="00133E79"/>
    <w:rsid w:val="00292B36"/>
    <w:rsid w:val="00325C66"/>
    <w:rsid w:val="00347FE4"/>
    <w:rsid w:val="004137D5"/>
    <w:rsid w:val="008B0D72"/>
    <w:rsid w:val="00A3121D"/>
    <w:rsid w:val="00B7274B"/>
    <w:rsid w:val="00CA7371"/>
    <w:rsid w:val="00F7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F75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0C6FC0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5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4</cp:revision>
  <cp:lastPrinted>2024-04-15T06:46:00Z</cp:lastPrinted>
  <dcterms:created xsi:type="dcterms:W3CDTF">2024-02-19T16:01:00Z</dcterms:created>
  <dcterms:modified xsi:type="dcterms:W3CDTF">2024-04-15T06:52:00Z</dcterms:modified>
</cp:coreProperties>
</file>